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rPr>
      </w:pPr>
      <w:bookmarkStart w:colFirst="0" w:colLast="0" w:name="_gjdgxs" w:id="0"/>
      <w:bookmarkEnd w:id="0"/>
      <w:r w:rsidDel="00000000" w:rsidR="00000000" w:rsidRPr="00000000">
        <w:rPr>
          <w:rFonts w:ascii="Century Gothic" w:cs="Century Gothic" w:eastAsia="Century Gothic" w:hAnsi="Century Gothic"/>
          <w:b w:val="1"/>
          <w:rtl w:val="0"/>
        </w:rPr>
        <w:t xml:space="preserve">GRUPO VIDANTA ENTREGA UN RECONOCIMIENTO ESPECIAL A LOS PREMIOS PLATINO DEL CINE IBEROAMERICANO 2018</w:t>
      </w:r>
    </w:p>
    <w:p w:rsidR="00000000" w:rsidDel="00000000" w:rsidP="00000000" w:rsidRDefault="00000000" w:rsidRPr="00000000" w14:paraId="00000001">
      <w:pPr>
        <w:contextualSpacing w:val="0"/>
        <w:jc w:val="both"/>
        <w:rPr>
          <w:rFonts w:ascii="Century Gothic" w:cs="Century Gothic" w:eastAsia="Century Gothic" w:hAnsi="Century Gothic"/>
          <w:b w:val="1"/>
          <w:i w:val="1"/>
          <w:sz w:val="20"/>
          <w:szCs w:val="20"/>
        </w:rPr>
      </w:pPr>
      <w:r w:rsidDel="00000000" w:rsidR="00000000" w:rsidRPr="00000000">
        <w:rPr>
          <w:rtl w:val="0"/>
        </w:rPr>
      </w:r>
    </w:p>
    <w:p w:rsidR="00000000" w:rsidDel="00000000" w:rsidP="00000000" w:rsidRDefault="00000000" w:rsidRPr="00000000" w14:paraId="00000002">
      <w:pPr>
        <w:contextualSpacing w:val="0"/>
        <w:jc w:val="both"/>
        <w:rPr>
          <w:rFonts w:ascii="Century Gothic" w:cs="Century Gothic" w:eastAsia="Century Gothic" w:hAnsi="Century Gothic"/>
          <w:b w:val="1"/>
          <w:i w:val="1"/>
          <w:sz w:val="20"/>
          <w:szCs w:val="20"/>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Durante una función especial de su extraordinario espectáculo residente Cirque du Soleil JOYÀ, Grupo Vidanta otorgó un reconocimiento a los Premios Platino del Cine Iberoamericano por promover la cultura mexicana y apoyar la industria del entretenimiento</w:t>
      </w:r>
    </w:p>
    <w:p w:rsidR="00000000" w:rsidDel="00000000" w:rsidP="00000000" w:rsidRDefault="00000000" w:rsidRPr="00000000" w14:paraId="00000004">
      <w:pPr>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5">
      <w:pPr>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a 30 de abril de 2018.- </w:t>
      </w:r>
      <w:r w:rsidDel="00000000" w:rsidR="00000000" w:rsidRPr="00000000">
        <w:rPr>
          <w:rFonts w:ascii="Century Gothic" w:cs="Century Gothic" w:eastAsia="Century Gothic" w:hAnsi="Century Gothic"/>
          <w:sz w:val="20"/>
          <w:szCs w:val="20"/>
          <w:rtl w:val="0"/>
        </w:rPr>
        <w:t xml:space="preserve">Reafirmando su compromiso con la industria del entretenimiento a través de las artes</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y durante una excepcional función de su multisensorial espectáculo Cirque du Soleil JOYÀ, Grupo Vidanta –desarrollador líder de resorts e infraestructuras turísticas en México y Latinoamérica– entregó a los Premios Platino del Cine Iberoamericano el pasado 27 de abril, un reconocimiento especial por promover la cultura mexicana y apoyar la industria del entretenimiento en nuestro país, al elegir como sede de su quinta edición a la Riviera Maya.</w:t>
      </w:r>
    </w:p>
    <w:p w:rsidR="00000000" w:rsidDel="00000000" w:rsidP="00000000" w:rsidRDefault="00000000" w:rsidRPr="00000000" w14:paraId="00000007">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sz w:val="20"/>
          <w:szCs w:val="20"/>
        </w:rPr>
      </w:pPr>
      <w:bookmarkStart w:colFirst="0" w:colLast="0" w:name="_30j0zll" w:id="1"/>
      <w:bookmarkEnd w:id="1"/>
      <w:r w:rsidDel="00000000" w:rsidR="00000000" w:rsidRPr="00000000">
        <w:rPr>
          <w:rFonts w:ascii="Century Gothic" w:cs="Century Gothic" w:eastAsia="Century Gothic" w:hAnsi="Century Gothic"/>
          <w:sz w:val="20"/>
          <w:szCs w:val="20"/>
          <w:rtl w:val="0"/>
        </w:rPr>
        <w:t xml:space="preserve">Enrique Cerezo, presidente ejecutivo los Premios Platino del Cine Iberoamericano y presidente de la Entidad de Gestión de Derechos de los Productores Audiovisuales (EGEDA), fue el encargado de recibir el galardón de manos de Norma Preciado, directora de mercadotecnia y estilo de vida de Grupo Vidanta.</w:t>
      </w:r>
    </w:p>
    <w:p w:rsidR="00000000" w:rsidDel="00000000" w:rsidP="00000000" w:rsidRDefault="00000000" w:rsidRPr="00000000" w14:paraId="00000009">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Grupo Vidanta seguimos consolidando nuestro compromiso con la industria del entretenimiento a través de las artes y la promoción de la cultura mexicana. Estamos muy emocionados de entregar a los Premios Platino del Cine Iberoamericano este reconocimiento, no solo por la afinidad que tienen con nuestros valores y compromiso con la industria, sino también por la difusión que le han dado a la Riviera Maya, una de las regiones más representativas del país, como el destino turístico perfecto”, comentó Norma Preciado, directora de mercadotecnia y estilo de vida de Grupo Vidanta.</w:t>
      </w:r>
    </w:p>
    <w:p w:rsidR="00000000" w:rsidDel="00000000" w:rsidP="00000000" w:rsidRDefault="00000000" w:rsidRPr="00000000" w14:paraId="0000000B">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Premios Platino del Cine Iberoamericano reúnen a los más destacados directores, actores, actrices, guionistas, músicos y productores de la Península Ibérica, América Latina y el Caribe; por lo que después de la función especial de Cirque du Soleil JOYÀ –el exclusivo espectáculo residente de la compañía en nuestro país y el único en el mundo que incluye una experiencia gastronómica–, los asistentes, entre ellos figuras de nivel internacional como </w:t>
      </w:r>
      <w:r w:rsidDel="00000000" w:rsidR="00000000" w:rsidRPr="00000000">
        <w:rPr>
          <w:rFonts w:ascii="Century Gothic" w:cs="Century Gothic" w:eastAsia="Century Gothic" w:hAnsi="Century Gothic"/>
          <w:sz w:val="20"/>
          <w:szCs w:val="20"/>
          <w:rtl w:val="0"/>
        </w:rPr>
        <w:t xml:space="preserve">Eugenio Derbez,  Joaquim De Almeida, Luis Gerardo Méndez, Tini Stoessel, Asier Etxeandia, y Claudia Álvarez, disfrutaron de una espectacular </w:t>
      </w:r>
      <w:r w:rsidDel="00000000" w:rsidR="00000000" w:rsidRPr="00000000">
        <w:rPr>
          <w:rFonts w:ascii="Century Gothic" w:cs="Century Gothic" w:eastAsia="Century Gothic" w:hAnsi="Century Gothic"/>
          <w:i w:val="1"/>
          <w:sz w:val="20"/>
          <w:szCs w:val="20"/>
          <w:rtl w:val="0"/>
        </w:rPr>
        <w:t xml:space="preserve">afterparty</w:t>
      </w:r>
      <w:r w:rsidDel="00000000" w:rsidR="00000000" w:rsidRPr="00000000">
        <w:rPr>
          <w:rFonts w:ascii="Century Gothic" w:cs="Century Gothic" w:eastAsia="Century Gothic" w:hAnsi="Century Gothic"/>
          <w:sz w:val="20"/>
          <w:szCs w:val="20"/>
          <w:rtl w:val="0"/>
        </w:rPr>
        <w:t xml:space="preserve"> en el bar Nektar en Vidanta Riviera Maya.</w:t>
      </w:r>
    </w:p>
    <w:p w:rsidR="00000000" w:rsidDel="00000000" w:rsidP="00000000" w:rsidRDefault="00000000" w:rsidRPr="00000000" w14:paraId="0000000D">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patrocinio de Grupo Vidanta a los Premios Platino del Cine Iberoamericano 2018, se suma a las acciones para respaldar su constante apoyo a la industria del entretenimiento, entre las que destacan el apoyo para la grabación de la película de James Bond ‘Spectre’ en la Ciudad de México y las asociaciones estratégicas con Cirque du Soleil y Hakkasan Group.</w:t>
      </w:r>
    </w:p>
    <w:p w:rsidR="00000000" w:rsidDel="00000000" w:rsidP="00000000" w:rsidRDefault="00000000" w:rsidRPr="00000000" w14:paraId="0000000F">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más información sobre las opciones de entretenimiento en Vidanta, por favor visite</w:t>
      </w:r>
      <w:hyperlink r:id="rId6">
        <w:r w:rsidDel="00000000" w:rsidR="00000000" w:rsidRPr="00000000">
          <w:rPr>
            <w:rFonts w:ascii="Century Gothic" w:cs="Century Gothic" w:eastAsia="Century Gothic" w:hAnsi="Century Gothic"/>
            <w:sz w:val="20"/>
            <w:szCs w:val="20"/>
            <w:rtl w:val="0"/>
          </w:rPr>
          <w:t xml:space="preserve"> </w:t>
        </w:r>
      </w:hyperlink>
      <w:hyperlink r:id="rId7">
        <w:r w:rsidDel="00000000" w:rsidR="00000000" w:rsidRPr="00000000">
          <w:rPr>
            <w:rFonts w:ascii="Century Gothic" w:cs="Century Gothic" w:eastAsia="Century Gothic" w:hAnsi="Century Gothic"/>
            <w:color w:val="1155cc"/>
            <w:sz w:val="20"/>
            <w:szCs w:val="20"/>
            <w:u w:val="single"/>
            <w:rtl w:val="0"/>
          </w:rPr>
          <w:t xml:space="preserve">vidanta.com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1">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más información sobre los Premios Platino del Cine Iberoamericano, por favor visite</w:t>
      </w:r>
      <w:hyperlink r:id="rId8">
        <w:r w:rsidDel="00000000" w:rsidR="00000000" w:rsidRPr="00000000">
          <w:rPr>
            <w:rFonts w:ascii="Century Gothic" w:cs="Century Gothic" w:eastAsia="Century Gothic" w:hAnsi="Century Gothic"/>
            <w:sz w:val="20"/>
            <w:szCs w:val="20"/>
            <w:rtl w:val="0"/>
          </w:rPr>
          <w:t xml:space="preserve"> </w:t>
        </w:r>
      </w:hyperlink>
      <w:hyperlink r:id="rId9">
        <w:r w:rsidDel="00000000" w:rsidR="00000000" w:rsidRPr="00000000">
          <w:rPr>
            <w:rFonts w:ascii="Century Gothic" w:cs="Century Gothic" w:eastAsia="Century Gothic" w:hAnsi="Century Gothic"/>
            <w:color w:val="1155cc"/>
            <w:sz w:val="20"/>
            <w:szCs w:val="20"/>
            <w:u w:val="single"/>
            <w:rtl w:val="0"/>
          </w:rPr>
          <w:t xml:space="preserve">premiosplatino.com</w:t>
        </w:r>
      </w:hyperlink>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3">
      <w:pPr>
        <w:contextualSpacing w:val="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4">
      <w:pPr>
        <w:contextualSpacing w:val="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 # #</w:t>
      </w:r>
      <w:r w:rsidDel="00000000" w:rsidR="00000000" w:rsidRPr="00000000">
        <w:rPr>
          <w:rtl w:val="0"/>
        </w:rPr>
      </w:r>
    </w:p>
    <w:p w:rsidR="00000000" w:rsidDel="00000000" w:rsidP="00000000" w:rsidRDefault="00000000" w:rsidRPr="00000000" w14:paraId="00000015">
      <w:pPr>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6">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Premios Platino del Cine Iberoamericano</w:t>
      </w:r>
    </w:p>
    <w:p w:rsidR="00000000" w:rsidDel="00000000" w:rsidP="00000000" w:rsidRDefault="00000000" w:rsidRPr="00000000" w14:paraId="00000017">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Los galardones fueron creados por la Entidad de Gestión de Derechos de los Productores Audiovisuales (EGEDA) en colaboración con la Federación Iberoamericana de Productores Cinematográficos y Audiovisuales (FIPCA), las academias de cine Iberoamericanas, Latin Artist e institutos de cine. Estos premios reconocen a los profesionales de la industria cinematográfica cuyas películas provengan de la Península Ibérica, América Latina y el Caribe. La ceremonia de premiación ha tenido diferentes sedes: Ciudad de Panamá (2014), Marbella, España (2015), Punta del Este, Uruguay (2016) y Madrid (2017). </w:t>
      </w:r>
      <w:r w:rsidDel="00000000" w:rsidR="00000000" w:rsidRPr="00000000">
        <w:rPr>
          <w:rtl w:val="0"/>
        </w:rPr>
      </w:r>
    </w:p>
    <w:p w:rsidR="00000000" w:rsidDel="00000000" w:rsidP="00000000" w:rsidRDefault="00000000" w:rsidRPr="00000000" w14:paraId="00000018">
      <w:pPr>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9">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JOYÀ</w:t>
      </w:r>
    </w:p>
    <w:p w:rsidR="00000000" w:rsidDel="00000000" w:rsidP="00000000" w:rsidRDefault="00000000" w:rsidRPr="00000000" w14:paraId="0000001A">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JOYÀ, el primer espectáculo permanente de Cirque du Soleil en México, combina artes culinarias y escénicas en un teatro íntimo diseñado para envolver al público a través de los cinco sentidos. JOYÀ habla de la aventura de una adolescente que es repentinamente catapultada al corazón de una jungla misteriosa que se encuentra dentro del universo de su abuelo, un hombre extravagante amante de la naturaleza, quien busca sin cesar el sentido de la vida. Presentándose de manera permanente en el Teatro Vidanta en Riviera Maya, es un show en el que la felicidad, la fuerza y la amistad conquistan todo.</w:t>
      </w:r>
      <w:r w:rsidDel="00000000" w:rsidR="00000000" w:rsidRPr="00000000">
        <w:rPr>
          <w:rtl w:val="0"/>
        </w:rPr>
      </w:r>
    </w:p>
    <w:p w:rsidR="00000000" w:rsidDel="00000000" w:rsidP="00000000" w:rsidRDefault="00000000" w:rsidRPr="00000000" w14:paraId="0000001B">
      <w:pPr>
        <w:spacing w:line="288" w:lineRule="auto"/>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C">
      <w:pPr>
        <w:spacing w:line="288" w:lineRule="auto"/>
        <w:contextualSpacing w:val="0"/>
        <w:jc w:val="both"/>
        <w:rPr>
          <w:rFonts w:ascii="Century Gothic" w:cs="Century Gothic" w:eastAsia="Century Gothic" w:hAnsi="Century Gothic"/>
          <w:b w:val="1"/>
          <w:sz w:val="18"/>
          <w:szCs w:val="18"/>
        </w:rPr>
      </w:pPr>
      <w:bookmarkStart w:colFirst="0" w:colLast="0" w:name="_1fob9te" w:id="2"/>
      <w:bookmarkEnd w:id="2"/>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D">
      <w:pPr>
        <w:spacing w:line="288"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contextualSpacing w:val="0"/>
        <w:jc w:val="both"/>
        <w:rPr>
          <w:rFonts w:ascii="Century Gothic" w:cs="Century Gothic" w:eastAsia="Century Gothic" w:hAnsi="Century Gothic"/>
          <w:b w:val="0"/>
          <w:i w:val="0"/>
          <w:smallCaps w:val="0"/>
          <w:strike w:val="0"/>
          <w:color w:val="000000"/>
          <w:sz w:val="18"/>
          <w:szCs w:val="18"/>
          <w:u w:val="none"/>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vertAlign w:val="baseline"/>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Herringbone,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contextualSpacing w:val="0"/>
        <w:jc w:val="both"/>
        <w:rPr>
          <w:rFonts w:ascii="Century Gothic" w:cs="Century Gothic" w:eastAsia="Century Gothic" w:hAnsi="Century Gothic"/>
          <w:b w:val="0"/>
          <w:i w:val="0"/>
          <w:smallCaps w:val="0"/>
          <w:strike w:val="0"/>
          <w:color w:val="000000"/>
          <w:sz w:val="18"/>
          <w:szCs w:val="18"/>
          <w:u w:val="none"/>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vertAlign w:val="baseline"/>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0">
      <w:pPr>
        <w:contextualSpacing w:val="0"/>
        <w:jc w:val="both"/>
        <w:rPr>
          <w:rFonts w:ascii="Century Gothic" w:cs="Century Gothic" w:eastAsia="Century Gothic" w:hAnsi="Century Gothic"/>
          <w:b w:val="1"/>
          <w:sz w:val="18"/>
          <w:szCs w:val="18"/>
        </w:rPr>
      </w:pPr>
      <w:bookmarkStart w:colFirst="0" w:colLast="0" w:name="_3znysh7" w:id="3"/>
      <w:bookmarkEnd w:id="3"/>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y </w:t>
      </w:r>
      <w:r w:rsidDel="00000000" w:rsidR="00000000" w:rsidRPr="00000000">
        <w:rPr>
          <w:rFonts w:ascii="Century Gothic" w:cs="Century Gothic" w:eastAsia="Century Gothic" w:hAnsi="Century Gothic"/>
          <w:sz w:val="18"/>
          <w:szCs w:val="18"/>
          <w:rtl w:val="0"/>
        </w:rPr>
        <w:t xml:space="preserve">actualmente clasificada entre los 10 primeros lugares en la lista Great Place to Work® de 2018, la organización mantiene un fuerte compromiso con sus 15,000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10">
        <w:r w:rsidDel="00000000" w:rsidR="00000000" w:rsidRPr="00000000">
          <w:rPr>
            <w:rFonts w:ascii="Century Gothic" w:cs="Century Gothic" w:eastAsia="Century Gothic" w:hAnsi="Century Gothic"/>
            <w:sz w:val="18"/>
            <w:szCs w:val="18"/>
            <w:rtl w:val="0"/>
          </w:rPr>
          <w:t xml:space="preserve"> </w:t>
        </w:r>
      </w:hyperlink>
      <w:hyperlink r:id="rId11">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r w:rsidDel="00000000" w:rsidR="00000000" w:rsidRPr="00000000">
        <w:rPr>
          <w:rtl w:val="0"/>
        </w:rPr>
      </w:r>
    </w:p>
    <w:p w:rsidR="00000000" w:rsidDel="00000000" w:rsidP="00000000" w:rsidRDefault="00000000" w:rsidRPr="00000000" w14:paraId="00000021">
      <w:pPr>
        <w:contextualSpacing w:val="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contextualSpacing w:val="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contextualSpacing w:val="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w:t>
      </w:r>
    </w:p>
    <w:p w:rsidR="00000000" w:rsidDel="00000000" w:rsidP="00000000" w:rsidRDefault="00000000" w:rsidRPr="00000000" w14:paraId="00000024">
      <w:pPr>
        <w:contextualSpacing w:val="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Sandy Machuca</w:t>
      </w:r>
    </w:p>
    <w:p w:rsidR="00000000" w:rsidDel="00000000" w:rsidP="00000000" w:rsidRDefault="00000000" w:rsidRPr="00000000" w14:paraId="00000025">
      <w:pPr>
        <w:contextualSpacing w:val="0"/>
        <w:jc w:val="both"/>
        <w:rPr>
          <w:rFonts w:ascii="Century Gothic" w:cs="Century Gothic" w:eastAsia="Century Gothic" w:hAnsi="Century Gothic"/>
          <w:sz w:val="24"/>
          <w:szCs w:val="24"/>
        </w:rPr>
      </w:pPr>
      <w:hyperlink r:id="rId12">
        <w:r w:rsidDel="00000000" w:rsidR="00000000" w:rsidRPr="00000000">
          <w:rPr>
            <w:rFonts w:ascii="Century Gothic" w:cs="Century Gothic" w:eastAsia="Century Gothic" w:hAnsi="Century Gothic"/>
            <w:color w:val="1155cc"/>
            <w:sz w:val="24"/>
            <w:szCs w:val="24"/>
            <w:u w:val="single"/>
            <w:rtl w:val="0"/>
          </w:rPr>
          <w:t xml:space="preserve">sandy@anothercompany.com.mx</w:t>
        </w:r>
      </w:hyperlink>
      <w:r w:rsidDel="00000000" w:rsidR="00000000" w:rsidRPr="00000000">
        <w:rPr>
          <w:rtl w:val="0"/>
        </w:rPr>
      </w:r>
    </w:p>
    <w:p w:rsidR="00000000" w:rsidDel="00000000" w:rsidP="00000000" w:rsidRDefault="00000000" w:rsidRPr="00000000" w14:paraId="00000026">
      <w:pPr>
        <w:contextualSpacing w:val="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Another Company</w:t>
      </w:r>
    </w:p>
    <w:p w:rsidR="00000000" w:rsidDel="00000000" w:rsidP="00000000" w:rsidRDefault="00000000" w:rsidRPr="00000000" w14:paraId="00000027">
      <w:pPr>
        <w:contextualSpacing w:val="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Of. 6392.1100</w:t>
      </w:r>
    </w:p>
    <w:p w:rsidR="00000000" w:rsidDel="00000000" w:rsidP="00000000" w:rsidRDefault="00000000" w:rsidRPr="00000000" w14:paraId="00000028">
      <w:pPr>
        <w:spacing w:after="200" w:line="240" w:lineRule="auto"/>
        <w:contextualSpacing w:val="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 04455 2270 5536</w:t>
      </w:r>
    </w:p>
    <w:sectPr>
      <w:head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contextualSpacing w:val="0"/>
      <w:jc w:val="right"/>
      <w:rPr/>
    </w:pPr>
    <w:r w:rsidDel="00000000" w:rsidR="00000000" w:rsidRPr="00000000">
      <w:rPr>
        <w:rtl w:val="0"/>
      </w:rPr>
    </w:r>
  </w:p>
  <w:p w:rsidR="00000000" w:rsidDel="00000000" w:rsidP="00000000" w:rsidRDefault="00000000" w:rsidRPr="00000000" w14:paraId="0000002A">
    <w:pPr>
      <w:contextualSpacing w:val="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1781175</wp:posOffset>
          </wp:positionH>
          <wp:positionV relativeFrom="paragraph">
            <wp:posOffset>38100</wp:posOffset>
          </wp:positionV>
          <wp:extent cx="2150110" cy="504190"/>
          <wp:effectExtent b="0" l="0" r="0" t="0"/>
          <wp:wrapSquare wrapText="bothSides" distB="114300" distT="114300" distL="114300" distR="11430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2B">
    <w:pPr>
      <w:contextualSpacing w:val="0"/>
      <w:jc w:val="right"/>
      <w:rPr/>
    </w:pPr>
    <w:r w:rsidDel="00000000" w:rsidR="00000000" w:rsidRPr="00000000">
      <w:rPr>
        <w:rtl w:val="0"/>
      </w:rPr>
    </w:r>
  </w:p>
  <w:p w:rsidR="00000000" w:rsidDel="00000000" w:rsidP="00000000" w:rsidRDefault="00000000" w:rsidRPr="00000000" w14:paraId="0000002C">
    <w:pPr>
      <w:contextualSpacing w:val="0"/>
      <w:jc w:val="right"/>
      <w:rPr/>
    </w:pPr>
    <w:r w:rsidDel="00000000" w:rsidR="00000000" w:rsidRPr="00000000">
      <w:rPr>
        <w:rtl w:val="0"/>
      </w:rPr>
    </w:r>
  </w:p>
  <w:p w:rsidR="00000000" w:rsidDel="00000000" w:rsidP="00000000" w:rsidRDefault="00000000" w:rsidRPr="00000000" w14:paraId="0000002D">
    <w:pPr>
      <w:contextualSpacing w:val="0"/>
      <w:jc w:val="right"/>
      <w:rPr/>
    </w:pPr>
    <w:r w:rsidDel="00000000" w:rsidR="00000000" w:rsidRPr="00000000">
      <w:rPr>
        <w:rtl w:val="0"/>
      </w:rPr>
    </w:r>
  </w:p>
  <w:p w:rsidR="00000000" w:rsidDel="00000000" w:rsidP="00000000" w:rsidRDefault="00000000" w:rsidRPr="00000000" w14:paraId="0000002E">
    <w:pPr>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www.grupovidanta.com/" TargetMode="External"/><Relationship Id="rId13" Type="http://schemas.openxmlformats.org/officeDocument/2006/relationships/header" Target="header1.xml"/><Relationship Id="rId12" Type="http://schemas.openxmlformats.org/officeDocument/2006/relationships/hyperlink" Target="mailto:sandy@anothercompany.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emiosplatino.com/" TargetMode="External"/><Relationship Id="rId5" Type="http://schemas.openxmlformats.org/officeDocument/2006/relationships/styles" Target="styles.xml"/><Relationship Id="rId6" Type="http://schemas.openxmlformats.org/officeDocument/2006/relationships/hyperlink" Target="http://www.vidanta.com/" TargetMode="External"/><Relationship Id="rId7" Type="http://schemas.openxmlformats.org/officeDocument/2006/relationships/hyperlink" Target="http://www.vidanta.com/" TargetMode="External"/><Relationship Id="rId8" Type="http://schemas.openxmlformats.org/officeDocument/2006/relationships/hyperlink" Target="http://premiosplatin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